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eastAsia="黑体"/>
          <w:sz w:val="32"/>
          <w:szCs w:val="32"/>
          <w:lang w:eastAsia="zh-CN"/>
        </w:rPr>
      </w:pPr>
      <w:bookmarkStart w:id="0" w:name="_GoBack"/>
      <w:r>
        <w:rPr>
          <w:rFonts w:hint="eastAsia" w:eastAsia="黑体"/>
          <w:sz w:val="32"/>
          <w:szCs w:val="32"/>
          <w:lang w:eastAsia="zh-CN"/>
        </w:rPr>
        <w:t>附件</w:t>
      </w:r>
      <w:bookmarkEnd w:id="0"/>
      <w:r>
        <w:rPr>
          <w:rFonts w:hint="eastAsia" w:eastAsia="黑体"/>
          <w:sz w:val="32"/>
          <w:szCs w:val="32"/>
          <w:lang w:eastAsia="zh-CN"/>
        </w:rPr>
        <w:t>：</w:t>
      </w:r>
    </w:p>
    <w:p>
      <w:pPr>
        <w:spacing w:after="156" w:afterLines="50"/>
        <w:jc w:val="center"/>
        <w:rPr>
          <w:rFonts w:hint="eastAsia"/>
          <w:b/>
          <w:sz w:val="30"/>
          <w:szCs w:val="30"/>
        </w:rPr>
      </w:pPr>
      <w:r>
        <w:rPr>
          <w:rFonts w:hint="eastAsia" w:eastAsia="黑体"/>
          <w:sz w:val="30"/>
          <w:szCs w:val="30"/>
          <w:lang w:val="en-US" w:eastAsia="zh-CN"/>
        </w:rPr>
        <w:t>校级教研课题结题项目一览表</w:t>
      </w:r>
    </w:p>
    <w:tbl>
      <w:tblPr>
        <w:tblStyle w:val="3"/>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92"/>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00" w:type="dxa"/>
            <w:noWrap w:val="0"/>
            <w:vAlign w:val="center"/>
          </w:tcPr>
          <w:p>
            <w:pPr>
              <w:widowControl/>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eastAsia="zh-CN"/>
              </w:rPr>
              <w:t>序号</w:t>
            </w:r>
          </w:p>
        </w:tc>
        <w:tc>
          <w:tcPr>
            <w:tcW w:w="1492" w:type="dxa"/>
            <w:noWrap w:val="0"/>
            <w:vAlign w:val="center"/>
          </w:tcPr>
          <w:p>
            <w:pPr>
              <w:widowControl/>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eastAsia="zh-CN"/>
              </w:rPr>
              <w:t>课题编号</w:t>
            </w:r>
          </w:p>
        </w:tc>
        <w:tc>
          <w:tcPr>
            <w:tcW w:w="7674" w:type="dxa"/>
            <w:noWrap w:val="0"/>
            <w:vAlign w:val="center"/>
          </w:tcPr>
          <w:p>
            <w:pPr>
              <w:widowControl/>
              <w:jc w:val="center"/>
              <w:textAlignment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1</w:t>
            </w:r>
          </w:p>
        </w:tc>
        <w:tc>
          <w:tcPr>
            <w:tcW w:w="14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1"/>
                <w:szCs w:val="21"/>
              </w:rPr>
              <w:t>JYYJ201801</w:t>
            </w:r>
          </w:p>
        </w:tc>
        <w:tc>
          <w:tcPr>
            <w:tcW w:w="7674" w:type="dxa"/>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sz w:val="24"/>
                <w:szCs w:val="24"/>
              </w:rPr>
            </w:pPr>
            <w:r>
              <w:rPr>
                <w:rFonts w:hint="eastAsia" w:ascii="宋体" w:hAnsi="宋体" w:eastAsia="宋体" w:cs="宋体"/>
                <w:i w:val="0"/>
                <w:iCs w:val="0"/>
                <w:color w:val="000000"/>
                <w:kern w:val="0"/>
                <w:sz w:val="22"/>
                <w:szCs w:val="22"/>
                <w:u w:val="none"/>
                <w:lang w:val="en-US" w:eastAsia="zh-CN" w:bidi="ar"/>
              </w:rPr>
              <w:t>高职院宠物专业产学研协同创新平台构建与运行机制的研究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2</w:t>
            </w:r>
          </w:p>
        </w:tc>
        <w:tc>
          <w:tcPr>
            <w:tcW w:w="14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仿宋" w:cs="Times New Roman"/>
                <w:b w:val="0"/>
                <w:bCs/>
                <w:sz w:val="24"/>
                <w:szCs w:val="24"/>
              </w:rPr>
            </w:pPr>
            <w:r>
              <w:rPr>
                <w:rFonts w:hint="default" w:ascii="Times New Roman" w:hAnsi="Times New Roman" w:cs="Times New Roman"/>
                <w:i w:val="0"/>
                <w:color w:val="000000"/>
                <w:kern w:val="0"/>
                <w:sz w:val="22"/>
                <w:szCs w:val="22"/>
                <w:u w:val="none"/>
                <w:lang w:val="en-US" w:eastAsia="zh-CN" w:bidi="ar"/>
              </w:rPr>
              <w:t>JYYJ201811</w:t>
            </w:r>
          </w:p>
        </w:tc>
        <w:tc>
          <w:tcPr>
            <w:tcW w:w="7674" w:type="dxa"/>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sz w:val="24"/>
                <w:szCs w:val="24"/>
              </w:rPr>
            </w:pPr>
            <w:r>
              <w:rPr>
                <w:rFonts w:hint="eastAsia" w:ascii="宋体" w:hAnsi="宋体" w:eastAsia="宋体" w:cs="宋体"/>
                <w:i w:val="0"/>
                <w:iCs w:val="0"/>
                <w:color w:val="000000"/>
                <w:kern w:val="0"/>
                <w:sz w:val="22"/>
                <w:szCs w:val="22"/>
                <w:u w:val="none"/>
                <w:lang w:val="en-US" w:eastAsia="zh-CN" w:bidi="ar"/>
              </w:rPr>
              <w:t>农业高职院校服务乡村振兴战略和地方农业经济发展能力提升研究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3</w:t>
            </w:r>
          </w:p>
        </w:tc>
        <w:tc>
          <w:tcPr>
            <w:tcW w:w="1492"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rPr>
            </w:pPr>
            <w:r>
              <w:rPr>
                <w:rFonts w:hint="default" w:ascii="Times New Roman" w:hAnsi="Times New Roman" w:eastAsia="仿宋" w:cs="Times New Roman"/>
                <w:i w:val="0"/>
                <w:color w:val="000000"/>
                <w:kern w:val="0"/>
                <w:sz w:val="22"/>
                <w:szCs w:val="22"/>
                <w:u w:val="none"/>
                <w:lang w:val="en-US" w:eastAsia="zh-CN" w:bidi="ar"/>
              </w:rPr>
              <w:t>JYYJ201817</w:t>
            </w:r>
          </w:p>
        </w:tc>
        <w:tc>
          <w:tcPr>
            <w:tcW w:w="7674" w:type="dxa"/>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sz w:val="24"/>
                <w:szCs w:val="24"/>
              </w:rPr>
            </w:pPr>
            <w:r>
              <w:rPr>
                <w:rFonts w:hint="eastAsia" w:ascii="宋体" w:hAnsi="宋体" w:eastAsia="宋体" w:cs="宋体"/>
                <w:i w:val="0"/>
                <w:iCs w:val="0"/>
                <w:color w:val="000000"/>
                <w:kern w:val="0"/>
                <w:sz w:val="22"/>
                <w:szCs w:val="22"/>
                <w:u w:val="none"/>
                <w:lang w:val="en-US" w:eastAsia="zh-CN" w:bidi="ar"/>
              </w:rPr>
              <w:t>大数据精准支持高职实践教学模式改革研究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4</w:t>
            </w:r>
          </w:p>
        </w:tc>
        <w:tc>
          <w:tcPr>
            <w:tcW w:w="1492"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rPr>
            </w:pPr>
            <w:r>
              <w:rPr>
                <w:rFonts w:hint="default" w:ascii="Times New Roman" w:hAnsi="Times New Roman" w:eastAsia="仿宋" w:cs="Times New Roman"/>
                <w:i w:val="0"/>
                <w:color w:val="000000"/>
                <w:kern w:val="0"/>
                <w:sz w:val="22"/>
                <w:szCs w:val="22"/>
                <w:u w:val="none"/>
                <w:lang w:val="en-US" w:eastAsia="zh-CN" w:bidi="ar"/>
              </w:rPr>
              <w:t>JYYJ201821</w:t>
            </w:r>
          </w:p>
        </w:tc>
        <w:tc>
          <w:tcPr>
            <w:tcW w:w="7674" w:type="dxa"/>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sz w:val="24"/>
                <w:szCs w:val="24"/>
              </w:rPr>
            </w:pPr>
            <w:r>
              <w:rPr>
                <w:rFonts w:hint="eastAsia" w:ascii="宋体" w:hAnsi="宋体" w:eastAsia="宋体" w:cs="宋体"/>
                <w:i w:val="0"/>
                <w:iCs w:val="0"/>
                <w:color w:val="000000"/>
                <w:kern w:val="0"/>
                <w:sz w:val="22"/>
                <w:szCs w:val="22"/>
                <w:u w:val="none"/>
                <w:lang w:val="en-US" w:eastAsia="zh-CN" w:bidi="ar"/>
              </w:rPr>
              <w:t>“双师”背景下高职院校教师培养机制研究——以江苏农牧科技职业学院为例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i w:val="0"/>
                <w:color w:val="000000"/>
                <w:kern w:val="0"/>
                <w:sz w:val="24"/>
                <w:szCs w:val="24"/>
                <w:u w:val="none"/>
                <w:lang w:val="en-US" w:eastAsia="zh-CN" w:bidi="ar"/>
              </w:rPr>
              <w:t>5</w:t>
            </w:r>
          </w:p>
        </w:tc>
        <w:tc>
          <w:tcPr>
            <w:tcW w:w="1492" w:type="dxa"/>
            <w:noWrap w:val="0"/>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JYYB202001</w:t>
            </w:r>
          </w:p>
        </w:tc>
        <w:tc>
          <w:tcPr>
            <w:tcW w:w="7674" w:type="dxa"/>
            <w:noWrap w:val="0"/>
            <w:vAlign w:val="center"/>
          </w:tcPr>
          <w:p>
            <w:pPr>
              <w:rPr>
                <w:rFonts w:hint="default" w:ascii="Times New Roman" w:hAnsi="Times New Roman" w:eastAsia="仿宋" w:cs="Times New Roman"/>
                <w:b w:val="0"/>
                <w:bCs/>
                <w:kern w:val="2"/>
                <w:sz w:val="24"/>
                <w:szCs w:val="24"/>
                <w:lang w:val="en-US" w:eastAsia="zh-CN" w:bidi="ar-SA"/>
              </w:rPr>
            </w:pPr>
            <w:r>
              <w:rPr>
                <w:rStyle w:val="5"/>
                <w:rFonts w:hint="default"/>
              </w:rPr>
              <w:t>“</w:t>
            </w:r>
            <w:r>
              <w:rPr>
                <w:rStyle w:val="6"/>
              </w:rPr>
              <w:t>一带一路</w:t>
            </w:r>
            <w:r>
              <w:rPr>
                <w:rStyle w:val="5"/>
                <w:rFonts w:hint="default"/>
              </w:rPr>
              <w:t>”</w:t>
            </w:r>
            <w:r>
              <w:rPr>
                <w:rStyle w:val="6"/>
              </w:rPr>
              <w:t>背景下高职农业类来华留学生创新型人才培养途径的研究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i w:val="0"/>
                <w:color w:val="000000"/>
                <w:kern w:val="0"/>
                <w:sz w:val="24"/>
                <w:szCs w:val="24"/>
                <w:u w:val="none"/>
                <w:lang w:val="en-US" w:eastAsia="zh-CN" w:bidi="ar"/>
              </w:rPr>
              <w:t>6</w:t>
            </w:r>
          </w:p>
        </w:tc>
        <w:tc>
          <w:tcPr>
            <w:tcW w:w="1492" w:type="dxa"/>
            <w:noWrap w:val="0"/>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JYYB202002</w:t>
            </w:r>
          </w:p>
        </w:tc>
        <w:tc>
          <w:tcPr>
            <w:tcW w:w="7674" w:type="dxa"/>
            <w:noWrap w:val="0"/>
            <w:vAlign w:val="center"/>
          </w:tcPr>
          <w:p>
            <w:pPr>
              <w:rPr>
                <w:rFonts w:hint="default" w:ascii="Times New Roman" w:hAnsi="Times New Roman" w:eastAsia="仿宋" w:cs="Times New Roman"/>
                <w:b w:val="0"/>
                <w:bCs/>
                <w:kern w:val="2"/>
                <w:sz w:val="24"/>
                <w:szCs w:val="24"/>
                <w:lang w:val="en-US" w:eastAsia="zh-CN" w:bidi="ar-SA"/>
              </w:rPr>
            </w:pPr>
            <w:r>
              <w:rPr>
                <w:rStyle w:val="6"/>
              </w:rPr>
              <w:t>中国特色高水平高职院校现代学徒制运行机制研究</w:t>
            </w:r>
            <w:r>
              <w:rPr>
                <w:rStyle w:val="5"/>
                <w:rFonts w:hint="default"/>
              </w:rPr>
              <w:t>——</w:t>
            </w:r>
            <w:r>
              <w:rPr>
                <w:rStyle w:val="6"/>
              </w:rPr>
              <w:t>以生物制药技术专业为例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7</w:t>
            </w:r>
          </w:p>
        </w:tc>
        <w:tc>
          <w:tcPr>
            <w:tcW w:w="1492" w:type="dxa"/>
            <w:noWrap w:val="0"/>
            <w:vAlign w:val="center"/>
          </w:tcPr>
          <w:p>
            <w:pPr>
              <w:widowControl/>
              <w:jc w:val="center"/>
              <w:textAlignment w:val="center"/>
              <w:rPr>
                <w:rFonts w:hint="default" w:ascii="Times New Roman" w:hAnsi="Times New Roman" w:eastAsia="仿宋" w:cs="Times New Roman"/>
                <w:b w:val="0"/>
                <w:bCs/>
                <w:sz w:val="24"/>
                <w:szCs w:val="24"/>
              </w:rPr>
            </w:pPr>
            <w:r>
              <w:rPr>
                <w:rFonts w:hint="default" w:ascii="Times New Roman" w:hAnsi="Times New Roman" w:cs="Times New Roman"/>
                <w:color w:val="000000"/>
                <w:kern w:val="0"/>
                <w:sz w:val="22"/>
                <w:szCs w:val="22"/>
                <w:lang w:bidi="ar"/>
              </w:rPr>
              <w:t>JYYB202003</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基于大数据平台的农业职业院校创客教育教学模式的设计与实践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8</w:t>
            </w:r>
          </w:p>
        </w:tc>
        <w:tc>
          <w:tcPr>
            <w:tcW w:w="1492" w:type="dxa"/>
            <w:noWrap w:val="0"/>
            <w:vAlign w:val="center"/>
          </w:tcPr>
          <w:p>
            <w:pPr>
              <w:widowControl/>
              <w:jc w:val="center"/>
              <w:textAlignment w:val="center"/>
              <w:rPr>
                <w:rFonts w:hint="default" w:ascii="Times New Roman" w:hAnsi="Times New Roman" w:eastAsia="仿宋" w:cs="Times New Roman"/>
                <w:b w:val="0"/>
                <w:bCs/>
                <w:sz w:val="24"/>
                <w:szCs w:val="24"/>
              </w:rPr>
            </w:pPr>
            <w:r>
              <w:rPr>
                <w:rFonts w:hint="default" w:ascii="Times New Roman" w:hAnsi="Times New Roman" w:cs="Times New Roman"/>
                <w:color w:val="000000"/>
                <w:kern w:val="0"/>
                <w:sz w:val="22"/>
                <w:szCs w:val="22"/>
                <w:lang w:bidi="ar"/>
              </w:rPr>
              <w:t>JYYB202004</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5"/>
                <w:rFonts w:hint="default"/>
              </w:rPr>
              <w:t>“</w:t>
            </w:r>
            <w:r>
              <w:rPr>
                <w:rStyle w:val="6"/>
              </w:rPr>
              <w:t>双高计划</w:t>
            </w:r>
            <w:r>
              <w:rPr>
                <w:rStyle w:val="5"/>
                <w:rFonts w:hint="default"/>
              </w:rPr>
              <w:t>”</w:t>
            </w:r>
            <w:r>
              <w:rPr>
                <w:rStyle w:val="6"/>
              </w:rPr>
              <w:t>背景下食品类专业人才培养路径研究与实践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9</w:t>
            </w:r>
          </w:p>
        </w:tc>
        <w:tc>
          <w:tcPr>
            <w:tcW w:w="1492" w:type="dxa"/>
            <w:noWrap w:val="0"/>
            <w:vAlign w:val="center"/>
          </w:tcPr>
          <w:p>
            <w:pPr>
              <w:widowControl/>
              <w:jc w:val="center"/>
              <w:textAlignment w:val="center"/>
              <w:rPr>
                <w:rFonts w:hint="default" w:ascii="Times New Roman" w:hAnsi="Times New Roman" w:eastAsia="仿宋" w:cs="Times New Roman"/>
                <w:b w:val="0"/>
                <w:bCs/>
                <w:sz w:val="24"/>
                <w:szCs w:val="24"/>
              </w:rPr>
            </w:pPr>
            <w:r>
              <w:rPr>
                <w:rFonts w:hint="default" w:ascii="Times New Roman" w:hAnsi="Times New Roman" w:cs="Times New Roman"/>
                <w:color w:val="000000"/>
                <w:kern w:val="0"/>
                <w:sz w:val="22"/>
                <w:szCs w:val="22"/>
                <w:lang w:bidi="ar"/>
              </w:rPr>
              <w:t>JYYB202005</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基于</w:t>
            </w:r>
            <w:r>
              <w:rPr>
                <w:rStyle w:val="5"/>
                <w:rFonts w:hint="default"/>
              </w:rPr>
              <w:t>1+X</w:t>
            </w:r>
            <w:r>
              <w:rPr>
                <w:rStyle w:val="6"/>
              </w:rPr>
              <w:t>证书制度下食品类专业学生技能提升的路径研究与实践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10</w:t>
            </w:r>
          </w:p>
        </w:tc>
        <w:tc>
          <w:tcPr>
            <w:tcW w:w="1492" w:type="dxa"/>
            <w:noWrap w:val="0"/>
            <w:vAlign w:val="center"/>
          </w:tcPr>
          <w:p>
            <w:pPr>
              <w:widowControl/>
              <w:jc w:val="center"/>
              <w:textAlignment w:val="center"/>
              <w:rPr>
                <w:rFonts w:hint="default" w:ascii="Times New Roman" w:hAnsi="Times New Roman" w:eastAsia="仿宋" w:cs="Times New Roman"/>
                <w:b w:val="0"/>
                <w:bCs/>
                <w:sz w:val="24"/>
                <w:szCs w:val="24"/>
              </w:rPr>
            </w:pPr>
            <w:r>
              <w:rPr>
                <w:rFonts w:hint="default" w:ascii="Times New Roman" w:hAnsi="Times New Roman" w:cs="Times New Roman"/>
                <w:color w:val="000000"/>
                <w:kern w:val="0"/>
                <w:sz w:val="22"/>
                <w:szCs w:val="22"/>
                <w:lang w:bidi="ar"/>
              </w:rPr>
              <w:t>JYYB202006</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基于</w:t>
            </w:r>
            <w:r>
              <w:rPr>
                <w:rStyle w:val="5"/>
                <w:rFonts w:hint="default"/>
              </w:rPr>
              <w:t>“</w:t>
            </w:r>
            <w:r>
              <w:rPr>
                <w:rStyle w:val="6"/>
              </w:rPr>
              <w:t>现代农业专业群</w:t>
            </w:r>
            <w:r>
              <w:rPr>
                <w:rStyle w:val="5"/>
                <w:rFonts w:hint="default"/>
              </w:rPr>
              <w:t>”</w:t>
            </w:r>
            <w:r>
              <w:rPr>
                <w:rStyle w:val="6"/>
              </w:rPr>
              <w:t>校企合作人才培养模式及绩效评价体系创新性研究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11</w:t>
            </w:r>
          </w:p>
        </w:tc>
        <w:tc>
          <w:tcPr>
            <w:tcW w:w="1492" w:type="dxa"/>
            <w:noWrap w:val="0"/>
            <w:vAlign w:val="center"/>
          </w:tcPr>
          <w:p>
            <w:pPr>
              <w:widowControl/>
              <w:jc w:val="center"/>
              <w:textAlignment w:val="center"/>
              <w:rPr>
                <w:rFonts w:hint="default" w:ascii="Times New Roman" w:hAnsi="Times New Roman" w:eastAsia="仿宋" w:cs="Times New Roman"/>
                <w:b w:val="0"/>
                <w:bCs/>
                <w:sz w:val="24"/>
                <w:szCs w:val="24"/>
              </w:rPr>
            </w:pPr>
            <w:r>
              <w:rPr>
                <w:rFonts w:hint="default" w:ascii="Times New Roman" w:hAnsi="Times New Roman" w:cs="Times New Roman"/>
                <w:color w:val="000000"/>
                <w:kern w:val="0"/>
                <w:sz w:val="22"/>
                <w:szCs w:val="22"/>
                <w:lang w:bidi="ar"/>
              </w:rPr>
              <w:t>JYYB202007</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高职院校成人高等教育园艺技术专业建设研究与实践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12</w:t>
            </w:r>
          </w:p>
        </w:tc>
        <w:tc>
          <w:tcPr>
            <w:tcW w:w="1492" w:type="dxa"/>
            <w:noWrap w:val="0"/>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JYYB202008</w:t>
            </w:r>
          </w:p>
        </w:tc>
        <w:tc>
          <w:tcPr>
            <w:tcW w:w="7674" w:type="dxa"/>
            <w:noWrap w:val="0"/>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高职院校来华留学生</w:t>
            </w:r>
            <w:r>
              <w:rPr>
                <w:rStyle w:val="5"/>
                <w:rFonts w:hint="default"/>
              </w:rPr>
              <w:t>“</w:t>
            </w:r>
            <w:r>
              <w:rPr>
                <w:rStyle w:val="6"/>
              </w:rPr>
              <w:t>跨文化心理适应</w:t>
            </w:r>
            <w:r>
              <w:rPr>
                <w:rStyle w:val="5"/>
                <w:rFonts w:hint="default"/>
              </w:rPr>
              <w:t>”</w:t>
            </w:r>
            <w:r>
              <w:rPr>
                <w:rStyle w:val="6"/>
              </w:rPr>
              <w:t>课程的探索与构建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13</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JYYB202009</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职业院校留学生预科培养体系构建研究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14</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JYYB202010</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基于</w:t>
            </w:r>
            <w:r>
              <w:rPr>
                <w:rStyle w:val="5"/>
                <w:rFonts w:hint="default"/>
              </w:rPr>
              <w:t>OBE</w:t>
            </w:r>
            <w:r>
              <w:rPr>
                <w:rStyle w:val="6"/>
              </w:rPr>
              <w:t>理念的园林景观类专业创新应用型人才培养模式研究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15</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JYYB202011</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高职院校动物医学类专业优势特色课程建设研究与实践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16</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JYYB202012</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协同创新视角下高职产教融合集成平台建设研究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17</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JYYB202013</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5"/>
                <w:rFonts w:hint="default"/>
              </w:rPr>
              <w:t>“</w:t>
            </w:r>
            <w:r>
              <w:rPr>
                <w:rStyle w:val="6"/>
              </w:rPr>
              <w:t>双高计划</w:t>
            </w:r>
            <w:r>
              <w:rPr>
                <w:rStyle w:val="5"/>
                <w:rFonts w:hint="default"/>
              </w:rPr>
              <w:t>”</w:t>
            </w:r>
            <w:r>
              <w:rPr>
                <w:rStyle w:val="6"/>
              </w:rPr>
              <w:t>背景下高职院校教师实践能力提升途径研究</w:t>
            </w:r>
            <w:r>
              <w:rPr>
                <w:rStyle w:val="5"/>
                <w:rFonts w:hint="default"/>
              </w:rPr>
              <w:t>——</w:t>
            </w:r>
            <w:r>
              <w:rPr>
                <w:rStyle w:val="6"/>
              </w:rPr>
              <w:t>以园林专业为例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18</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JYYB202014</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新形势下高职院校教师实践教学能力提升途径研究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19</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JYYB202015</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高职院校教师教学能力、实践能力提升途径研究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20</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JYYB202016</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Fonts w:hint="eastAsia"/>
                <w:color w:val="000000"/>
                <w:sz w:val="22"/>
                <w:szCs w:val="22"/>
              </w:rPr>
              <w:t>编研名师档案在高职院校教学名师成长管理中的运用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21</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JYYB202017</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5"/>
                <w:rFonts w:hint="default"/>
              </w:rPr>
              <w:t>“</w:t>
            </w:r>
            <w:r>
              <w:rPr>
                <w:rStyle w:val="6"/>
              </w:rPr>
              <w:t>双高</w:t>
            </w:r>
            <w:r>
              <w:rPr>
                <w:rStyle w:val="5"/>
                <w:rFonts w:hint="default"/>
              </w:rPr>
              <w:t>”</w:t>
            </w:r>
            <w:r>
              <w:rPr>
                <w:rStyle w:val="6"/>
              </w:rPr>
              <w:t>背景下高职教师发展及服务支持体系研究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22</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JYYB202018</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5"/>
                <w:rFonts w:hint="default"/>
              </w:rPr>
              <w:t>“</w:t>
            </w:r>
            <w:r>
              <w:rPr>
                <w:rStyle w:val="6"/>
              </w:rPr>
              <w:t>现代宠物技术</w:t>
            </w:r>
            <w:r>
              <w:rPr>
                <w:rStyle w:val="5"/>
                <w:rFonts w:hint="default"/>
              </w:rPr>
              <w:t>”</w:t>
            </w:r>
            <w:r>
              <w:rPr>
                <w:rStyle w:val="6"/>
              </w:rPr>
              <w:t>专业群相关专业</w:t>
            </w:r>
            <w:r>
              <w:rPr>
                <w:rStyle w:val="5"/>
                <w:rFonts w:hint="default"/>
              </w:rPr>
              <w:t>“</w:t>
            </w:r>
            <w:r>
              <w:rPr>
                <w:rStyle w:val="6"/>
              </w:rPr>
              <w:t>多方协同、校企联动、工学结合、服务终端</w:t>
            </w:r>
            <w:r>
              <w:rPr>
                <w:rStyle w:val="5"/>
                <w:rFonts w:hint="default"/>
              </w:rPr>
              <w:t>”</w:t>
            </w:r>
            <w:r>
              <w:rPr>
                <w:rStyle w:val="6"/>
              </w:rPr>
              <w:t>育人机制的探索与实践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23</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JYYB202019</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5"/>
                <w:rFonts w:hint="default"/>
              </w:rPr>
              <w:t>“</w:t>
            </w:r>
            <w:r>
              <w:rPr>
                <w:rStyle w:val="6"/>
              </w:rPr>
              <w:t>双高计划</w:t>
            </w:r>
            <w:r>
              <w:rPr>
                <w:rStyle w:val="5"/>
                <w:rFonts w:hint="default"/>
              </w:rPr>
              <w:t>”</w:t>
            </w:r>
            <w:r>
              <w:rPr>
                <w:rStyle w:val="6"/>
              </w:rPr>
              <w:t>背景下高职院校校本人才培养工作状态数据研究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24</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JYYB202020</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人才培养工作状态数据视角下的高职院校内部教学质量监控体系的策略研究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25</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JYYB202021</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基于大数据的高职精准教学模式研究与应用实践</w:t>
            </w:r>
            <w:r>
              <w:rPr>
                <w:rStyle w:val="5"/>
                <w:rFonts w:hint="default"/>
              </w:rPr>
              <w:t>——</w:t>
            </w:r>
            <w:r>
              <w:rPr>
                <w:rStyle w:val="6"/>
              </w:rPr>
              <w:t>以《平面设计》课程为例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26</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JYYB202022</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信息技术与《药品生产技术》课程深度融合的研究与实践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27</w:t>
            </w:r>
          </w:p>
        </w:tc>
        <w:tc>
          <w:tcPr>
            <w:tcW w:w="1492" w:type="dxa"/>
            <w:vAlign w:val="center"/>
          </w:tcPr>
          <w:p>
            <w:pPr>
              <w:widowControl/>
              <w:jc w:val="center"/>
              <w:textAlignment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cs="Times New Roman"/>
                <w:color w:val="000000"/>
                <w:kern w:val="0"/>
                <w:sz w:val="22"/>
                <w:szCs w:val="22"/>
                <w:lang w:bidi="ar"/>
              </w:rPr>
              <w:t>JYYB202023</w:t>
            </w:r>
          </w:p>
        </w:tc>
        <w:tc>
          <w:tcPr>
            <w:tcW w:w="7674" w:type="dxa"/>
            <w:vAlign w:val="center"/>
          </w:tcPr>
          <w:p>
            <w:pPr>
              <w:rPr>
                <w:rFonts w:hint="default" w:ascii="Times New Roman" w:hAnsi="Times New Roman" w:eastAsia="仿宋" w:cs="Times New Roman"/>
                <w:i w:val="0"/>
                <w:color w:val="000000"/>
                <w:kern w:val="0"/>
                <w:sz w:val="24"/>
                <w:szCs w:val="24"/>
                <w:u w:val="none"/>
                <w:lang w:val="en-US" w:eastAsia="zh-CN" w:bidi="ar"/>
              </w:rPr>
            </w:pPr>
            <w:r>
              <w:rPr>
                <w:rStyle w:val="6"/>
              </w:rPr>
              <w:t>水生生物学课程信息化教学设计与实践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28</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JYYB202024</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高职院校食品专业课程信息化设计与应用研究</w:t>
            </w:r>
            <w:r>
              <w:rPr>
                <w:rStyle w:val="5"/>
                <w:rFonts w:hint="default"/>
              </w:rPr>
              <w:t>—</w:t>
            </w:r>
            <w:r>
              <w:rPr>
                <w:rStyle w:val="6"/>
              </w:rPr>
              <w:t>以《食品生物化学》课程为例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29</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JYYB202025</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基于诊改理念的的智能课堂建设</w:t>
            </w:r>
            <w:r>
              <w:rPr>
                <w:rStyle w:val="5"/>
                <w:rFonts w:hint="default"/>
              </w:rPr>
              <w:t>-</w:t>
            </w:r>
            <w:r>
              <w:rPr>
                <w:rStyle w:val="6"/>
              </w:rPr>
              <w:t>以《兽药检测技术》课程为例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30</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JYYB202026</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5"/>
                <w:rFonts w:hint="default"/>
              </w:rPr>
              <w:t>“</w:t>
            </w:r>
            <w:r>
              <w:rPr>
                <w:rStyle w:val="6"/>
              </w:rPr>
              <w:t>三位一体</w:t>
            </w:r>
            <w:r>
              <w:rPr>
                <w:rStyle w:val="5"/>
                <w:rFonts w:hint="default"/>
              </w:rPr>
              <w:t>”</w:t>
            </w:r>
            <w:r>
              <w:rPr>
                <w:rStyle w:val="6"/>
              </w:rPr>
              <w:t>线上线下混合式教学模式在《食品理化检测技术》课程中探索与实践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31</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JYYB202027</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7"/>
                <w:rFonts w:hint="default"/>
              </w:rPr>
              <w:t>新冠疫情下基于</w:t>
            </w:r>
            <w:r>
              <w:rPr>
                <w:rStyle w:val="5"/>
                <w:rFonts w:hint="default"/>
              </w:rPr>
              <w:t xml:space="preserve"> OBE </w:t>
            </w:r>
            <w:r>
              <w:rPr>
                <w:rStyle w:val="7"/>
                <w:rFonts w:hint="default"/>
              </w:rPr>
              <w:t>理念构建《中药炮制技术》线上线下混合式教学模式在高职院校中的应用研究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32</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JYYB202028</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高职院校思想政治理论课线上线下混合教学模式研究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33</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JYYB202029</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高职</w:t>
            </w:r>
            <w:r>
              <w:rPr>
                <w:rStyle w:val="5"/>
                <w:rFonts w:hint="default"/>
              </w:rPr>
              <w:t>O2O</w:t>
            </w:r>
            <w:r>
              <w:rPr>
                <w:rStyle w:val="6"/>
              </w:rPr>
              <w:t>教学模式的开发与实践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34</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JYYB202030</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基于</w:t>
            </w:r>
            <w:r>
              <w:rPr>
                <w:rStyle w:val="5"/>
                <w:rFonts w:hint="default"/>
              </w:rPr>
              <w:t>SPOC+</w:t>
            </w:r>
            <w:r>
              <w:rPr>
                <w:rStyle w:val="6"/>
              </w:rPr>
              <w:t>交互学习的混合式教学模式改革与实践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35</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JYYB202031</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慕课环境下《动物病理》线上线下混合教学模式的构建及应用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36</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JYYB202032</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基于移动终端</w:t>
            </w:r>
            <w:r>
              <w:rPr>
                <w:rStyle w:val="5"/>
                <w:rFonts w:hint="default"/>
              </w:rPr>
              <w:t>APP</w:t>
            </w:r>
            <w:r>
              <w:rPr>
                <w:rStyle w:val="6"/>
              </w:rPr>
              <w:t>平台下高职院校健美操课程混合式教学模式的应用研究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37</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JYYB202033</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关键链技术在</w:t>
            </w:r>
            <w:r>
              <w:rPr>
                <w:rStyle w:val="5"/>
                <w:rFonts w:hint="default"/>
              </w:rPr>
              <w:t>“</w:t>
            </w:r>
            <w:r>
              <w:rPr>
                <w:rStyle w:val="6"/>
              </w:rPr>
              <w:t>双高计划</w:t>
            </w:r>
            <w:r>
              <w:rPr>
                <w:rStyle w:val="5"/>
                <w:rFonts w:hint="default"/>
              </w:rPr>
              <w:t>”</w:t>
            </w:r>
            <w:r>
              <w:rPr>
                <w:rStyle w:val="6"/>
              </w:rPr>
              <w:t>项目管理中的应用研究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38</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JYYB202034</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高水平专业集群建设视域下</w:t>
            </w:r>
            <w:r>
              <w:rPr>
                <w:rStyle w:val="5"/>
                <w:rFonts w:hint="default"/>
              </w:rPr>
              <w:t>“</w:t>
            </w:r>
            <w:r>
              <w:rPr>
                <w:rStyle w:val="6"/>
              </w:rPr>
              <w:t>农－商</w:t>
            </w:r>
            <w:r>
              <w:rPr>
                <w:rStyle w:val="5"/>
                <w:rFonts w:hint="default"/>
              </w:rPr>
              <w:t>”</w:t>
            </w:r>
            <w:r>
              <w:rPr>
                <w:rStyle w:val="6"/>
              </w:rPr>
              <w:t>交融课程开发研究－－以创业财务通识课程开发为例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39</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JYYB202035</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产业学院视域下涉农高职院校</w:t>
            </w:r>
            <w:r>
              <w:rPr>
                <w:rStyle w:val="5"/>
                <w:rFonts w:hint="default"/>
              </w:rPr>
              <w:t>“</w:t>
            </w:r>
            <w:r>
              <w:rPr>
                <w:rStyle w:val="6"/>
              </w:rPr>
              <w:t>双创</w:t>
            </w:r>
            <w:r>
              <w:rPr>
                <w:rStyle w:val="5"/>
                <w:rFonts w:hint="default"/>
              </w:rPr>
              <w:t>”</w:t>
            </w:r>
            <w:r>
              <w:rPr>
                <w:rStyle w:val="6"/>
              </w:rPr>
              <w:t>教育与专业教育融合路径研究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40</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JYYB202036</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业财融合下高职院校会计专业课程重构研究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41</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JYYB202037</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基于信息化平台建设的高职院校实验室安全管理体系研究与实践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42</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JYYB202038</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6"/>
              </w:rPr>
              <w:t>现代职教体系下动物科学专业高职本科联合人才培养模式的研究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43</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JYYB202039</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5"/>
                <w:rFonts w:hint="default"/>
              </w:rPr>
              <w:t>“</w:t>
            </w:r>
            <w:r>
              <w:rPr>
                <w:rStyle w:val="7"/>
                <w:rFonts w:hint="default"/>
              </w:rPr>
              <w:t>互联网</w:t>
            </w:r>
            <w:r>
              <w:rPr>
                <w:rStyle w:val="5"/>
                <w:rFonts w:hint="default"/>
              </w:rPr>
              <w:t>+”</w:t>
            </w:r>
            <w:r>
              <w:rPr>
                <w:rStyle w:val="7"/>
                <w:rFonts w:hint="default"/>
              </w:rPr>
              <w:t>时代师生关系研究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44</w:t>
            </w:r>
          </w:p>
        </w:tc>
        <w:tc>
          <w:tcPr>
            <w:tcW w:w="1492" w:type="dxa"/>
            <w:vAlign w:val="center"/>
          </w:tcPr>
          <w:p>
            <w:pPr>
              <w:widowControl/>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cs="Times New Roman"/>
                <w:color w:val="000000"/>
                <w:kern w:val="0"/>
                <w:sz w:val="22"/>
                <w:szCs w:val="22"/>
                <w:lang w:bidi="ar"/>
              </w:rPr>
              <w:t>JYYB202040</w:t>
            </w:r>
          </w:p>
        </w:tc>
        <w:tc>
          <w:tcPr>
            <w:tcW w:w="7674" w:type="dxa"/>
            <w:vAlign w:val="center"/>
          </w:tcPr>
          <w:p>
            <w:pPr>
              <w:rPr>
                <w:rFonts w:hint="default" w:ascii="Times New Roman" w:hAnsi="Times New Roman" w:eastAsia="仿宋" w:cs="Times New Roman"/>
                <w:i w:val="0"/>
                <w:color w:val="000000"/>
                <w:kern w:val="0"/>
                <w:sz w:val="22"/>
                <w:szCs w:val="22"/>
                <w:u w:val="none"/>
                <w:lang w:val="en-US" w:eastAsia="zh-CN" w:bidi="ar"/>
              </w:rPr>
            </w:pPr>
            <w:r>
              <w:rPr>
                <w:rStyle w:val="7"/>
                <w:rFonts w:hint="default"/>
              </w:rPr>
              <w:t>基于团队导师制的农业高职院校畜牧兽医人才教育管理模式的探索与实践</w:t>
            </w:r>
          </w:p>
        </w:tc>
      </w:tr>
    </w:tbl>
    <w:p/>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5498E"/>
    <w:rsid w:val="1E05498E"/>
    <w:rsid w:val="5E00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cs="仿宋"/>
      <w:color w:val="000000"/>
      <w:sz w:val="22"/>
      <w:szCs w:val="22"/>
      <w:u w:val="none"/>
    </w:rPr>
  </w:style>
  <w:style w:type="character" w:customStyle="1" w:styleId="6">
    <w:name w:val="font21"/>
    <w:basedOn w:val="4"/>
    <w:qFormat/>
    <w:uiPriority w:val="0"/>
    <w:rPr>
      <w:rFonts w:hint="default" w:ascii="Times New Roman" w:hAnsi="Times New Roman" w:cs="Times New Roman"/>
      <w:color w:val="000000"/>
      <w:sz w:val="22"/>
      <w:szCs w:val="22"/>
      <w:u w:val="none"/>
    </w:rPr>
  </w:style>
  <w:style w:type="character" w:customStyle="1" w:styleId="7">
    <w:name w:val="font01"/>
    <w:basedOn w:val="4"/>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2021-06-18T07:56:00Z</dcterms:created>
  <dc:creator>若菲</dc:creator>
  <cp:lastModifiedBy>若菲</cp:lastModifiedBy>
  <dcterms:modified xsi:type="dcterms:W3CDTF">2021-06-18T07:56:43Z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2432FAE86E8940ACA47C49BE7889D674</vt:lpwstr>
  </property>
</Properties>
</file>